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Social Media Management SaaS</w:t>
      </w:r>
    </w:p>
    <w:p>
      <w:r>
        <w:t>Complete Product Requirements, Multi-Database Architecture &amp; Claude Development Handoff</w:t>
      </w:r>
    </w:p>
    <w:p>
      <w:r>
        <w:t>Prepared for WhizzAct | Technology: Laravel + MySQL | Version 1.0 | 29 October 2026</w:t>
      </w:r>
    </w:p>
    <w:p>
      <w:r>
        <w:t>Purpose: Build a production-grade multi-tenant SaaS for agencies, freelancers, marketing teams and enterprise users to manage multiple clients and social accounts, create one campaign and publish to multiple supported destinations, obtain approvals, schedule content, and measure results.</w:t>
      </w:r>
    </w:p>
    <w:p>
      <w:pPr>
        <w:pStyle w:val="Heading1"/>
      </w:pPr>
      <w:r>
        <w:t>0. Non-negotiable project decisions</w:t>
      </w:r>
    </w:p>
    <w:p>
      <w:pPr>
        <w:pStyle w:val="ListBullet"/>
      </w:pPr>
      <w:r>
        <w:t>One Laravel codebase, MySQL master database and one isolated MySQL database per agency tenant. Clients live inside their agency tenant database.</w:t>
      </w:r>
    </w:p>
    <w:p>
      <w:pPr>
        <w:pStyle w:val="ListBullet"/>
      </w:pPr>
      <w:r>
        <w:t>Laravel Blade + Livewire + Alpine.js frontend; Redis + Laravel Horizon for background publishing, caching and throttling; object storage for media.</w:t>
      </w:r>
    </w:p>
    <w:p>
      <w:pPr>
        <w:pStyle w:val="ListBullet"/>
      </w:pPr>
      <w:r>
        <w:t>Use official APIs and permissioned OAuth integrations only. Every connected destination has independently validated capabilities and consent.</w:t>
      </w:r>
    </w:p>
    <w:p>
      <w:pPr>
        <w:pStyle w:val="ListBullet"/>
      </w:pPr>
      <w:r>
        <w:t>Full product scope is specified; implementation should be phased in functional, testable milestones rather than an unreviewed one-shot build.</w:t>
      </w:r>
    </w:p>
    <w:p>
      <w:pPr>
        <w:pStyle w:val="ListBullet"/>
      </w:pPr>
      <w:r>
        <w:t>No automatic cross-client publishing without explicit selection and authorization; all publishing outcomes and retry attempts are recorded independently.</w:t>
      </w:r>
    </w:p>
    <w:p>
      <w:pPr>
        <w:pStyle w:val="Heading1"/>
      </w:pPr>
      <w:r>
        <w:t>1. User personas and system roles</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Role</w:t>
            </w:r>
          </w:p>
        </w:tc>
        <w:tc>
          <w:tcPr>
            <w:tcW w:type="dxa" w:w="4896"/>
          </w:tcPr>
          <w:p>
            <w:r>
              <w:t>Responsibility</w:t>
            </w:r>
          </w:p>
        </w:tc>
      </w:tr>
      <w:tr>
        <w:tc>
          <w:tcPr>
            <w:tcW w:type="dxa" w:w="4896"/>
          </w:tcPr>
          <w:p>
            <w:r>
              <w:t>Super Admin</w:t>
            </w:r>
          </w:p>
        </w:tc>
        <w:tc>
          <w:tcPr>
            <w:tcW w:type="dxa" w:w="4896"/>
          </w:tcPr>
          <w:p>
            <w:r>
              <w:t>Manage tenants, plans, platform integrations, provisioning, monitoring and support.</w:t>
            </w:r>
          </w:p>
        </w:tc>
      </w:tr>
      <w:tr>
        <w:tc>
          <w:tcPr>
            <w:tcW w:type="dxa" w:w="4896"/>
          </w:tcPr>
          <w:p>
            <w:r>
              <w:t>Agency Owner</w:t>
            </w:r>
          </w:p>
        </w:tc>
        <w:tc>
          <w:tcPr>
            <w:tcW w:type="dxa" w:w="4896"/>
          </w:tcPr>
          <w:p>
            <w:r>
              <w:t>Manage agency subscription, staff, clients, security and settings.</w:t>
            </w:r>
          </w:p>
        </w:tc>
      </w:tr>
      <w:tr>
        <w:tc>
          <w:tcPr>
            <w:tcW w:type="dxa" w:w="4896"/>
          </w:tcPr>
          <w:p>
            <w:r>
              <w:t>Agency Admin</w:t>
            </w:r>
          </w:p>
        </w:tc>
        <w:tc>
          <w:tcPr>
            <w:tcW w:type="dxa" w:w="4896"/>
          </w:tcPr>
          <w:p>
            <w:r>
              <w:t>Manage agency clients, account access, workflows and reporting.</w:t>
            </w:r>
          </w:p>
        </w:tc>
      </w:tr>
      <w:tr>
        <w:tc>
          <w:tcPr>
            <w:tcW w:type="dxa" w:w="4896"/>
          </w:tcPr>
          <w:p>
            <w:r>
              <w:t>Social Media Manager</w:t>
            </w:r>
          </w:p>
        </w:tc>
        <w:tc>
          <w:tcPr>
            <w:tcW w:type="dxa" w:w="4896"/>
          </w:tcPr>
          <w:p>
            <w:r>
              <w:t>Manage assigned client accounts, publishing, calendar and insights.</w:t>
            </w:r>
          </w:p>
        </w:tc>
      </w:tr>
      <w:tr>
        <w:tc>
          <w:tcPr>
            <w:tcW w:type="dxa" w:w="4896"/>
          </w:tcPr>
          <w:p>
            <w:r>
              <w:t>Content Creator / Designer</w:t>
            </w:r>
          </w:p>
        </w:tc>
        <w:tc>
          <w:tcPr>
            <w:tcW w:type="dxa" w:w="4896"/>
          </w:tcPr>
          <w:p>
            <w:r>
              <w:t>Create captions, creatives, templates and drafts.</w:t>
            </w:r>
          </w:p>
        </w:tc>
      </w:tr>
      <w:tr>
        <w:tc>
          <w:tcPr>
            <w:tcW w:type="dxa" w:w="4896"/>
          </w:tcPr>
          <w:p>
            <w:r>
              <w:t>Approver</w:t>
            </w:r>
          </w:p>
        </w:tc>
        <w:tc>
          <w:tcPr>
            <w:tcW w:type="dxa" w:w="4896"/>
          </w:tcPr>
          <w:p>
            <w:r>
              <w:t>Review, approve or request changes; internal or client-side.</w:t>
            </w:r>
          </w:p>
        </w:tc>
      </w:tr>
      <w:tr>
        <w:tc>
          <w:tcPr>
            <w:tcW w:type="dxa" w:w="4896"/>
          </w:tcPr>
          <w:p>
            <w:r>
              <w:t>Client User</w:t>
            </w:r>
          </w:p>
        </w:tc>
        <w:tc>
          <w:tcPr>
            <w:tcW w:type="dxa" w:w="4896"/>
          </w:tcPr>
          <w:p>
            <w:r>
              <w:t>Access only their client portal, approvals and reports.</w:t>
            </w:r>
          </w:p>
        </w:tc>
      </w:tr>
      <w:tr>
        <w:tc>
          <w:tcPr>
            <w:tcW w:type="dxa" w:w="4896"/>
          </w:tcPr>
          <w:p>
            <w:r>
              <w:t>Viewer</w:t>
            </w:r>
          </w:p>
        </w:tc>
        <w:tc>
          <w:tcPr>
            <w:tcW w:type="dxa" w:w="4896"/>
          </w:tcPr>
          <w:p>
            <w:r>
              <w:t>Read-only access to explicitly assigned resources.</w:t>
            </w:r>
          </w:p>
        </w:tc>
      </w:tr>
    </w:tbl>
    <w:p>
      <w:pPr>
        <w:pStyle w:val="Heading1"/>
      </w:pPr>
      <w:r>
        <w:t>2. Product modules and complete functional scope</w:t>
      </w:r>
    </w:p>
    <w:p>
      <w:pPr>
        <w:pStyle w:val="Heading1"/>
      </w:pPr>
      <w:r>
        <w:t>2.1 Agency and client management</w:t>
      </w:r>
    </w:p>
    <w:p>
      <w:pPr>
        <w:pStyle w:val="ListBullet"/>
      </w:pPr>
      <w:r>
        <w:t>Agency onboarding, profile, team invitation, branding, locale, timezone, custom domains and white-label options.</w:t>
      </w:r>
    </w:p>
    <w:p>
      <w:pPr>
        <w:pStyle w:val="ListBullet"/>
      </w:pPr>
      <w:r>
        <w:t>CRUD clients, company profile, contacts, industry, logo, brand voice, competitor list, campaigns, notes and client statuses.</w:t>
      </w:r>
    </w:p>
    <w:p>
      <w:pPr>
        <w:pStyle w:val="ListBullet"/>
      </w:pPr>
      <w:r>
        <w:t>Assign users to clients with least-privilege permissions; agency-wide and client-level roles.</w:t>
      </w:r>
    </w:p>
    <w:p>
      <w:pPr>
        <w:pStyle w:val="ListBullet"/>
      </w:pPr>
      <w:r>
        <w:t>Client portal with approval inbox, content calendar, activity, reports and feedback.</w:t>
      </w:r>
    </w:p>
    <w:p>
      <w:pPr>
        <w:pStyle w:val="Heading1"/>
      </w:pPr>
      <w:r>
        <w:t>2.2 Social connections and authentication</w:t>
      </w:r>
    </w:p>
    <w:p>
      <w:pPr>
        <w:pStyle w:val="ListBullet"/>
      </w:pPr>
      <w:r>
        <w:t>Connect Facebook Pages, Instagram professional accounts, LinkedIn profiles/organizations, YouTube channels, X, TikTok, Pinterest, Threads and Google Business Profile as officially supported.</w:t>
      </w:r>
    </w:p>
    <w:p>
      <w:pPr>
        <w:pStyle w:val="ListBullet"/>
      </w:pPr>
      <w:r>
        <w:t>OAuth login with state/PKCE where applicable; discover accounts/pages managed by the user; select and link permitted destinations.</w:t>
      </w:r>
    </w:p>
    <w:p>
      <w:pPr>
        <w:pStyle w:val="ListBullet"/>
      </w:pPr>
      <w:r>
        <w:t>Store external account IDs, platform, scopes, token expiry, sync status, consent context, token health, reconnect alerts and audit history.</w:t>
      </w:r>
    </w:p>
    <w:p>
      <w:pPr>
        <w:pStyle w:val="ListBullet"/>
      </w:pPr>
      <w:r>
        <w:t>Refresh credentials where supported; handle revoked access, account deletion, scope changes and disconnect/revoke operations.</w:t>
      </w:r>
    </w:p>
    <w:p>
      <w:pPr>
        <w:pStyle w:val="ListBullet"/>
      </w:pPr>
      <w:r>
        <w:t>Capability matrix by platform, account type, app approval, scope, media and action; never imply uniform posting support.</w:t>
      </w:r>
    </w:p>
    <w:p>
      <w:pPr>
        <w:pStyle w:val="Heading1"/>
      </w:pPr>
      <w:r>
        <w:t>2.3 Publishing composer</w:t>
      </w:r>
    </w:p>
    <w:p>
      <w:pPr>
        <w:pStyle w:val="ListBullet"/>
      </w:pPr>
      <w:r>
        <w:t>Create master post with rich text, link, image/video assets, campaign, labels, draft status and optional AI assistance.</w:t>
      </w:r>
    </w:p>
    <w:p>
      <w:pPr>
        <w:pStyle w:val="ListBullet"/>
      </w:pPr>
      <w:r>
        <w:t>Select multiple clients/accounts only where explicit permission exists; grouped account picker, bulk selection and warnings.</w:t>
      </w:r>
    </w:p>
    <w:p>
      <w:pPr>
        <w:pStyle w:val="ListBullet"/>
      </w:pPr>
      <w:r>
        <w:t>Per-destination overrides for caption, hashtags, mentions, link formatting, media, aspect ratio, title, thumbnails and options.</w:t>
      </w:r>
    </w:p>
    <w:p>
      <w:pPr>
        <w:pStyle w:val="ListBullet"/>
      </w:pPr>
      <w:r>
        <w:t>Validate text limits, MIME, image dimensions, aspect ratios, video duration/size and platform restrictions before scheduling.</w:t>
      </w:r>
    </w:p>
    <w:p>
      <w:pPr>
        <w:pStyle w:val="ListBullet"/>
      </w:pPr>
      <w:r>
        <w:t>Save drafts, duplicate, version history, assign tasks, preview per platform and choose immediate/scheduled publishing.</w:t>
      </w:r>
    </w:p>
    <w:p>
      <w:pPr>
        <w:pStyle w:val="Heading1"/>
      </w:pPr>
      <w:r>
        <w:t>2.4 Scheduling and calendar</w:t>
      </w:r>
    </w:p>
    <w:p>
      <w:pPr>
        <w:pStyle w:val="ListBullet"/>
      </w:pPr>
      <w:r>
        <w:t>Timezone-aware scheduled publishing; day/week/month unified and client-specific calendars; drag and drop with revalidation.</w:t>
      </w:r>
    </w:p>
    <w:p>
      <w:pPr>
        <w:pStyle w:val="ListBullet"/>
      </w:pPr>
      <w:r>
        <w:t>Queue slots, recurring templates or content series (subject to platform policies), campaign grouping, reschedule, pause and cancellation.</w:t>
      </w:r>
    </w:p>
    <w:p>
      <w:pPr>
        <w:pStyle w:val="ListBullet"/>
      </w:pPr>
      <w:r>
        <w:t>Per-account posting queues, rate limiting, worker retries and holidays/blackout windows.</w:t>
      </w:r>
    </w:p>
    <w:p>
      <w:pPr>
        <w:pStyle w:val="ListBullet"/>
      </w:pPr>
      <w:r>
        <w:t>Status stages: draft, awaiting_review, changes_requested, approved, scheduled, processing, published, partially_failed, failed, cancelled.</w:t>
      </w:r>
    </w:p>
    <w:p>
      <w:pPr>
        <w:pStyle w:val="Heading1"/>
      </w:pPr>
      <w:r>
        <w:t>2.5 Approvals and teamwork</w:t>
      </w:r>
    </w:p>
    <w:p>
      <w:pPr>
        <w:pStyle w:val="ListBullet"/>
      </w:pPr>
      <w:r>
        <w:t>Configurable per-client workflows: optional internal manager, required client approver and multi-stage approvals.</w:t>
      </w:r>
    </w:p>
    <w:p>
      <w:pPr>
        <w:pStyle w:val="ListBullet"/>
      </w:pPr>
      <w:r>
        <w:t>Comments, revisions, notifications, approval deadlines, delegation and final approval audit with timestamp.</w:t>
      </w:r>
    </w:p>
    <w:p>
      <w:pPr>
        <w:pStyle w:val="ListBullet"/>
      </w:pPr>
      <w:r>
        <w:t>Materially changing approved media/caption/targets invalidates approval and returns to review.</w:t>
      </w:r>
    </w:p>
    <w:p>
      <w:pPr>
        <w:pStyle w:val="ListBullet"/>
      </w:pPr>
      <w:r>
        <w:t>Assignments, checklists, conversations, team notifications and activity stream.</w:t>
      </w:r>
    </w:p>
    <w:p>
      <w:pPr>
        <w:pStyle w:val="Heading1"/>
      </w:pPr>
      <w:r>
        <w:t>2.6 Media library and assets</w:t>
      </w:r>
    </w:p>
    <w:p>
      <w:pPr>
        <w:pStyle w:val="ListBullet"/>
      </w:pPr>
      <w:r>
        <w:t>S3-compatible tenant-separated media storage, folders, tagging, search, usage history, brand kits and templates.</w:t>
      </w:r>
    </w:p>
    <w:p>
      <w:pPr>
        <w:pStyle w:val="ListBullet"/>
      </w:pPr>
      <w:r>
        <w:t>Chunked upload or signed upload, MIME validation, antivirus scanning, image/video metadata and thumbnails.</w:t>
      </w:r>
    </w:p>
    <w:p>
      <w:pPr>
        <w:pStyle w:val="ListBullet"/>
      </w:pPr>
      <w:r>
        <w:t>Transcoding/variants with background jobs; deduplication rules, storage quota and file lifecycle controls.</w:t>
      </w:r>
    </w:p>
    <w:p>
      <w:pPr>
        <w:pStyle w:val="Heading1"/>
      </w:pPr>
      <w:r>
        <w:t>2.7 Social inbox and engagement</w:t>
      </w:r>
    </w:p>
    <w:p>
      <w:pPr>
        <w:pStyle w:val="ListBullet"/>
      </w:pPr>
      <w:r>
        <w:t>Unified inbox only for platform-approved message/comment/reply surfaces; distinguish unavailable APIs.</w:t>
      </w:r>
    </w:p>
    <w:p>
      <w:pPr>
        <w:pStyle w:val="ListBullet"/>
      </w:pPr>
      <w:r>
        <w:t>Assign, tag, filter, triage, save replies, track responses, internal notes and permissioned moderation where supported.</w:t>
      </w:r>
    </w:p>
    <w:p>
      <w:pPr>
        <w:pStyle w:val="ListBullet"/>
      </w:pPr>
      <w:r>
        <w:t>Webhook ingestion with signatures, deduplication, ordering handling and configurable retention.</w:t>
      </w:r>
    </w:p>
    <w:p>
      <w:pPr>
        <w:pStyle w:val="Heading1"/>
      </w:pPr>
      <w:r>
        <w:t>2.8 Analytics and reporting</w:t>
      </w:r>
    </w:p>
    <w:p>
      <w:pPr>
        <w:pStyle w:val="ListBullet"/>
      </w:pPr>
      <w:r>
        <w:t>Per-platform and per-account metrics with provenance, currency/timezone and metric definitions.</w:t>
      </w:r>
    </w:p>
    <w:p>
      <w:pPr>
        <w:pStyle w:val="ListBullet"/>
      </w:pPr>
      <w:r>
        <w:t>Engagement, impressions, reach, clicks, followers, post performance and campaign comparisons where API-accessible.</w:t>
      </w:r>
    </w:p>
    <w:p>
      <w:pPr>
        <w:pStyle w:val="ListBullet"/>
      </w:pPr>
      <w:r>
        <w:t>Client dashboards, custom date ranges, snapshots, scheduled PDF/Excel reports, agency-branded exports and delivery logs.</w:t>
      </w:r>
    </w:p>
    <w:p>
      <w:pPr>
        <w:pStyle w:val="ListBullet"/>
      </w:pPr>
      <w:r>
        <w:t>Data freshness markers, failed sync diagnostics, deletion/backfill rules and explicit unavailable-metric states.</w:t>
      </w:r>
    </w:p>
    <w:p>
      <w:pPr>
        <w:pStyle w:val="Heading1"/>
      </w:pPr>
      <w:r>
        <w:t>2.9 AI content assistant</w:t>
      </w:r>
    </w:p>
    <w:p>
      <w:pPr>
        <w:pStyle w:val="ListBullet"/>
      </w:pPr>
      <w:r>
        <w:t>Draft captions, rewrite platform variants, hashtags, multilingual localization, brand voice and content plan ideas.</w:t>
      </w:r>
    </w:p>
    <w:p>
      <w:pPr>
        <w:pStyle w:val="ListBullet"/>
      </w:pPr>
      <w:r>
        <w:t>Human review before publication; never silently auto-publish AI output.</w:t>
      </w:r>
    </w:p>
    <w:p>
      <w:pPr>
        <w:pStyle w:val="ListBullet"/>
      </w:pPr>
      <w:r>
        <w:t>Store prompt/version, consent, token usage, workspace budgets and billable consumption; avoid sending secrets or unrelated client data.</w:t>
      </w:r>
    </w:p>
    <w:p>
      <w:pPr>
        <w:pStyle w:val="Heading1"/>
      </w:pPr>
      <w:r>
        <w:t>2.10 Billing, SaaS and white-label</w:t>
      </w:r>
    </w:p>
    <w:p>
      <w:pPr>
        <w:pStyle w:val="ListBullet"/>
      </w:pPr>
      <w:r>
        <w:t>Starter/Professional/Agency/Enterprise plans; monthly/annual subscription, trials, invoices, coupons, GST considerations where applicable and payment gateway.</w:t>
      </w:r>
    </w:p>
    <w:p>
      <w:pPr>
        <w:pStyle w:val="ListBullet"/>
      </w:pPr>
      <w:r>
        <w:t>Enforce agency limits for connected accounts, clients, users, storage, AI credits and scheduled/published volumes.</w:t>
      </w:r>
    </w:p>
    <w:p>
      <w:pPr>
        <w:pStyle w:val="ListBullet"/>
      </w:pPr>
      <w:r>
        <w:t>White-label agency portal, logos, custom URL, branded reports and optional email sender identity.</w:t>
      </w:r>
    </w:p>
    <w:p>
      <w:pPr>
        <w:pStyle w:val="Heading1"/>
      </w:pPr>
      <w:r>
        <w:t>2.11 Global admin, operations and compliance</w:t>
      </w:r>
    </w:p>
    <w:p>
      <w:pPr>
        <w:pStyle w:val="ListBullet"/>
      </w:pPr>
      <w:r>
        <w:t>Super-admin tenant lifecycle, provisioning, suspend/reactivate, plan overrides, system dashboard, integration credentials and incidents.</w:t>
      </w:r>
    </w:p>
    <w:p>
      <w:pPr>
        <w:pStyle w:val="ListBullet"/>
      </w:pPr>
      <w:r>
        <w:t>Observability, token-expiration alerts, publishing errors, failed jobs, API quota/rate dashboards, audit logs and backup status.</w:t>
      </w:r>
    </w:p>
    <w:p>
      <w:pPr>
        <w:pStyle w:val="ListBullet"/>
      </w:pPr>
      <w:r>
        <w:t>Tenant-level export, deletion and retention policies; secure access to support functions with audit trails.</w:t>
      </w:r>
    </w:p>
    <w:p>
      <w:pPr>
        <w:pStyle w:val="Heading1"/>
      </w:pPr>
      <w:r>
        <w:t>3. Official integration capability matrix and compliance</w:t>
      </w:r>
    </w:p>
    <w:p>
      <w:r>
        <w:t>Publishing permissions must be confirmed against each provider’s latest documentation and app review process at implementation time. Do not promise every feature on every platform. Model capabilities as versioned data, not hardcoded UI assumptions.</w:t>
      </w:r>
    </w:p>
    <w:tbl>
      <w:tblPr>
        <w:tblStyle w:val="LightShading-Accent1"/>
        <w:tblW w:type="auto" w:w="0"/>
        <w:jc w:val="center"/>
        <w:tblLook w:firstColumn="1" w:firstRow="1" w:lastColumn="0" w:lastRow="0" w:noHBand="0" w:noVBand="1" w:val="04A0"/>
      </w:tblPr>
      <w:tblGrid>
        <w:gridCol w:w="3264"/>
        <w:gridCol w:w="3264"/>
        <w:gridCol w:w="3264"/>
      </w:tblGrid>
      <w:tr>
        <w:tc>
          <w:tcPr>
            <w:tcW w:type="dxa" w:w="3264"/>
          </w:tcPr>
          <w:p>
            <w:r>
              <w:t>Platform</w:t>
            </w:r>
          </w:p>
        </w:tc>
        <w:tc>
          <w:tcPr>
            <w:tcW w:type="dxa" w:w="3264"/>
          </w:tcPr>
          <w:p>
            <w:r>
              <w:t>Planned connector</w:t>
            </w:r>
          </w:p>
        </w:tc>
        <w:tc>
          <w:tcPr>
            <w:tcW w:type="dxa" w:w="3264"/>
          </w:tcPr>
          <w:p>
            <w:r>
              <w:t>Caveat</w:t>
            </w:r>
          </w:p>
        </w:tc>
      </w:tr>
      <w:tr>
        <w:tc>
          <w:tcPr>
            <w:tcW w:type="dxa" w:w="3264"/>
          </w:tcPr>
          <w:p>
            <w:r>
              <w:t>Facebook</w:t>
            </w:r>
          </w:p>
        </w:tc>
        <w:tc>
          <w:tcPr>
            <w:tcW w:type="dxa" w:w="3264"/>
          </w:tcPr>
          <w:p>
            <w:r>
              <w:t>Pages posts, media, relevant insights</w:t>
            </w:r>
          </w:p>
        </w:tc>
        <w:tc>
          <w:tcPr>
            <w:tcW w:type="dxa" w:w="3264"/>
          </w:tcPr>
          <w:p>
            <w:r>
              <w:t>Permissions, Page roles and Meta review apply.</w:t>
            </w:r>
          </w:p>
        </w:tc>
      </w:tr>
      <w:tr>
        <w:tc>
          <w:tcPr>
            <w:tcW w:type="dxa" w:w="3264"/>
          </w:tcPr>
          <w:p>
            <w:r>
              <w:t>Instagram</w:t>
            </w:r>
          </w:p>
        </w:tc>
        <w:tc>
          <w:tcPr>
            <w:tcW w:type="dxa" w:w="3264"/>
          </w:tcPr>
          <w:p>
            <w:r>
              <w:t>Professional account content publishing, Reels and supported insights</w:t>
            </w:r>
          </w:p>
        </w:tc>
        <w:tc>
          <w:tcPr>
            <w:tcW w:type="dxa" w:w="3264"/>
          </w:tcPr>
          <w:p>
            <w:r>
              <w:t>Professional eligibility and supported media types vary.</w:t>
            </w:r>
          </w:p>
        </w:tc>
      </w:tr>
      <w:tr>
        <w:tc>
          <w:tcPr>
            <w:tcW w:type="dxa" w:w="3264"/>
          </w:tcPr>
          <w:p>
            <w:r>
              <w:t>LinkedIn</w:t>
            </w:r>
          </w:p>
        </w:tc>
        <w:tc>
          <w:tcPr>
            <w:tcW w:type="dxa" w:w="3264"/>
          </w:tcPr>
          <w:p>
            <w:r>
              <w:t>Member and organization posts, media, analytics where approved</w:t>
            </w:r>
          </w:p>
        </w:tc>
        <w:tc>
          <w:tcPr>
            <w:tcW w:type="dxa" w:w="3264"/>
          </w:tcPr>
          <w:p>
            <w:r>
              <w:t>Org admin rights and API products/permissions required.</w:t>
            </w:r>
          </w:p>
        </w:tc>
      </w:tr>
      <w:tr>
        <w:tc>
          <w:tcPr>
            <w:tcW w:type="dxa" w:w="3264"/>
          </w:tcPr>
          <w:p>
            <w:r>
              <w:t>YouTube</w:t>
            </w:r>
          </w:p>
        </w:tc>
        <w:tc>
          <w:tcPr>
            <w:tcW w:type="dxa" w:w="3264"/>
          </w:tcPr>
          <w:p>
            <w:r>
              <w:t>Video uploads, channel metadata, analytics</w:t>
            </w:r>
          </w:p>
        </w:tc>
        <w:tc>
          <w:tcPr>
            <w:tcW w:type="dxa" w:w="3264"/>
          </w:tcPr>
          <w:p>
            <w:r>
              <w:t>Quota, verification, visibility and scheduling constraints.</w:t>
            </w:r>
          </w:p>
        </w:tc>
      </w:tr>
      <w:tr>
        <w:tc>
          <w:tcPr>
            <w:tcW w:type="dxa" w:w="3264"/>
          </w:tcPr>
          <w:p>
            <w:r>
              <w:t>X</w:t>
            </w:r>
          </w:p>
        </w:tc>
        <w:tc>
          <w:tcPr>
            <w:tcW w:type="dxa" w:w="3264"/>
          </w:tcPr>
          <w:p>
            <w:r>
              <w:t>Text/media posts and permitted analytics</w:t>
            </w:r>
          </w:p>
        </w:tc>
        <w:tc>
          <w:tcPr>
            <w:tcW w:type="dxa" w:w="3264"/>
          </w:tcPr>
          <w:p>
            <w:r>
              <w:t>Paid tiers, limits and access restrictions can change.</w:t>
            </w:r>
          </w:p>
        </w:tc>
      </w:tr>
      <w:tr>
        <w:tc>
          <w:tcPr>
            <w:tcW w:type="dxa" w:w="3264"/>
          </w:tcPr>
          <w:p>
            <w:r>
              <w:t>TikTok</w:t>
            </w:r>
          </w:p>
        </w:tc>
        <w:tc>
          <w:tcPr>
            <w:tcW w:type="dxa" w:w="3264"/>
          </w:tcPr>
          <w:p>
            <w:r>
              <w:t>Content-posting API flows</w:t>
            </w:r>
          </w:p>
        </w:tc>
        <w:tc>
          <w:tcPr>
            <w:tcW w:type="dxa" w:w="3264"/>
          </w:tcPr>
          <w:p>
            <w:r>
              <w:t>Audit/approval and user-control rules; unapproved flows limited.</w:t>
            </w:r>
          </w:p>
        </w:tc>
      </w:tr>
      <w:tr>
        <w:tc>
          <w:tcPr>
            <w:tcW w:type="dxa" w:w="3264"/>
          </w:tcPr>
          <w:p>
            <w:r>
              <w:t>Pinterest</w:t>
            </w:r>
          </w:p>
        </w:tc>
        <w:tc>
          <w:tcPr>
            <w:tcW w:type="dxa" w:w="3264"/>
          </w:tcPr>
          <w:p>
            <w:r>
              <w:t>Pins, boards and analytics</w:t>
            </w:r>
          </w:p>
        </w:tc>
        <w:tc>
          <w:tcPr>
            <w:tcW w:type="dxa" w:w="3264"/>
          </w:tcPr>
          <w:p>
            <w:r>
              <w:t>Access scopes and content specifications apply.</w:t>
            </w:r>
          </w:p>
        </w:tc>
      </w:tr>
      <w:tr>
        <w:tc>
          <w:tcPr>
            <w:tcW w:type="dxa" w:w="3264"/>
          </w:tcPr>
          <w:p>
            <w:r>
              <w:t>Threads</w:t>
            </w:r>
          </w:p>
        </w:tc>
        <w:tc>
          <w:tcPr>
            <w:tcW w:type="dxa" w:w="3264"/>
          </w:tcPr>
          <w:p>
            <w:r>
              <w:t>Posts and analytics where supported</w:t>
            </w:r>
          </w:p>
        </w:tc>
        <w:tc>
          <w:tcPr>
            <w:tcW w:type="dxa" w:w="3264"/>
          </w:tcPr>
          <w:p>
            <w:r>
              <w:t>Meta scopes and app review apply.</w:t>
            </w:r>
          </w:p>
        </w:tc>
      </w:tr>
      <w:tr>
        <w:tc>
          <w:tcPr>
            <w:tcW w:type="dxa" w:w="3264"/>
          </w:tcPr>
          <w:p>
            <w:r>
              <w:t>Google Business Profile</w:t>
            </w:r>
          </w:p>
        </w:tc>
        <w:tc>
          <w:tcPr>
            <w:tcW w:type="dxa" w:w="3264"/>
          </w:tcPr>
          <w:p>
            <w:r>
              <w:t>Eligible local posts/reviews/metrics</w:t>
            </w:r>
          </w:p>
        </w:tc>
        <w:tc>
          <w:tcPr>
            <w:tcW w:type="dxa" w:w="3264"/>
          </w:tcPr>
          <w:p>
            <w:r>
              <w:t>Business verification, API eligibility and product limits apply.</w:t>
            </w:r>
          </w:p>
        </w:tc>
      </w:tr>
    </w:tbl>
    <w:p>
      <w:pPr>
        <w:pStyle w:val="Heading1"/>
      </w:pPr>
      <w:r>
        <w:t>4. Master database design</w:t>
      </w:r>
    </w:p>
    <w:p>
      <w:r>
        <w:t>Logical name: social_saas_master. This database is authoritative for identity, tenant routing, subscription entitlements and global configuration; it does not store raw agency/client post content.</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Table</w:t>
            </w:r>
          </w:p>
        </w:tc>
        <w:tc>
          <w:tcPr>
            <w:tcW w:type="dxa" w:w="4896"/>
          </w:tcPr>
          <w:p>
            <w:r>
              <w:t>Core fields / purpose</w:t>
            </w:r>
          </w:p>
        </w:tc>
      </w:tr>
      <w:tr>
        <w:tc>
          <w:tcPr>
            <w:tcW w:type="dxa" w:w="4896"/>
          </w:tcPr>
          <w:p>
            <w:r>
              <w:t>users</w:t>
            </w:r>
          </w:p>
        </w:tc>
        <w:tc>
          <w:tcPr>
            <w:tcW w:type="dxa" w:w="4896"/>
          </w:tcPr>
          <w:p>
            <w:r>
              <w:t>id UUID, name, email unique, password hash, MFA, status, timestamps</w:t>
            </w:r>
          </w:p>
        </w:tc>
      </w:tr>
      <w:tr>
        <w:tc>
          <w:tcPr>
            <w:tcW w:type="dxa" w:w="4896"/>
          </w:tcPr>
          <w:p>
            <w:r>
              <w:t>tenants</w:t>
            </w:r>
          </w:p>
        </w:tc>
        <w:tc>
          <w:tcPr>
            <w:tcW w:type="dxa" w:w="4896"/>
          </w:tcPr>
          <w:p>
            <w:r>
              <w:t>id UUID, slug, name, status, plan_id, provisioned_at, owner_user_id</w:t>
            </w:r>
          </w:p>
        </w:tc>
      </w:tr>
      <w:tr>
        <w:tc>
          <w:tcPr>
            <w:tcW w:type="dxa" w:w="4896"/>
          </w:tcPr>
          <w:p>
            <w:r>
              <w:t>tenant_domains</w:t>
            </w:r>
          </w:p>
        </w:tc>
        <w:tc>
          <w:tcPr>
            <w:tcW w:type="dxa" w:w="4896"/>
          </w:tcPr>
          <w:p>
            <w:r>
              <w:t>tenant_id, domain unique, verified_at, is_primary</w:t>
            </w:r>
          </w:p>
        </w:tc>
      </w:tr>
      <w:tr>
        <w:tc>
          <w:tcPr>
            <w:tcW w:type="dxa" w:w="4896"/>
          </w:tcPr>
          <w:p>
            <w:r>
              <w:t>tenant_database_connections</w:t>
            </w:r>
          </w:p>
        </w:tc>
        <w:tc>
          <w:tcPr>
            <w:tcW w:type="dxa" w:w="4896"/>
          </w:tcPr>
          <w:p>
            <w:r>
              <w:t>tenant_id, encrypted secret reference, host, database_name, driver, connection status</w:t>
            </w:r>
          </w:p>
        </w:tc>
      </w:tr>
      <w:tr>
        <w:tc>
          <w:tcPr>
            <w:tcW w:type="dxa" w:w="4896"/>
          </w:tcPr>
          <w:p>
            <w:r>
              <w:t>tenant_users</w:t>
            </w:r>
          </w:p>
        </w:tc>
        <w:tc>
          <w:tcPr>
            <w:tcW w:type="dxa" w:w="4896"/>
          </w:tcPr>
          <w:p>
            <w:r>
              <w:t>tenant_id, user_id, role, invited_at, accepted_at, status</w:t>
            </w:r>
          </w:p>
        </w:tc>
      </w:tr>
      <w:tr>
        <w:tc>
          <w:tcPr>
            <w:tcW w:type="dxa" w:w="4896"/>
          </w:tcPr>
          <w:p>
            <w:r>
              <w:t>plans / plan_features</w:t>
            </w:r>
          </w:p>
        </w:tc>
        <w:tc>
          <w:tcPr>
            <w:tcW w:type="dxa" w:w="4896"/>
          </w:tcPr>
          <w:p>
            <w:r>
              <w:t>plan definition, feature code, limit, pricing term</w:t>
            </w:r>
          </w:p>
        </w:tc>
      </w:tr>
      <w:tr>
        <w:tc>
          <w:tcPr>
            <w:tcW w:type="dxa" w:w="4896"/>
          </w:tcPr>
          <w:p>
            <w:r>
              <w:t>subscriptions / payments / invoices</w:t>
            </w:r>
          </w:p>
        </w:tc>
        <w:tc>
          <w:tcPr>
            <w:tcW w:type="dxa" w:w="4896"/>
          </w:tcPr>
          <w:p>
            <w:r>
              <w:t>tenant_id, billing status, gateway IDs, amount in paise, tax, period, invoice refs</w:t>
            </w:r>
          </w:p>
        </w:tc>
      </w:tr>
      <w:tr>
        <w:tc>
          <w:tcPr>
            <w:tcW w:type="dxa" w:w="4896"/>
          </w:tcPr>
          <w:p>
            <w:r>
              <w:t>usage_summaries</w:t>
            </w:r>
          </w:p>
        </w:tc>
        <w:tc>
          <w:tcPr>
            <w:tcW w:type="dxa" w:w="4896"/>
          </w:tcPr>
          <w:p>
            <w:r>
              <w:t>tenant_id, period, metric_name, aggregated total</w:t>
            </w:r>
          </w:p>
        </w:tc>
      </w:tr>
      <w:tr>
        <w:tc>
          <w:tcPr>
            <w:tcW w:type="dxa" w:w="4896"/>
          </w:tcPr>
          <w:p>
            <w:r>
              <w:t>platform_integrations</w:t>
            </w:r>
          </w:p>
        </w:tc>
        <w:tc>
          <w:tcPr>
            <w:tcW w:type="dxa" w:w="4896"/>
          </w:tcPr>
          <w:p>
            <w:r>
              <w:t>provider, client ID, secret reference, callback URL, review status, capability version</w:t>
            </w:r>
          </w:p>
        </w:tc>
      </w:tr>
      <w:tr>
        <w:tc>
          <w:tcPr>
            <w:tcW w:type="dxa" w:w="4896"/>
          </w:tcPr>
          <w:p>
            <w:r>
              <w:t>system_settings</w:t>
            </w:r>
          </w:p>
        </w:tc>
        <w:tc>
          <w:tcPr>
            <w:tcW w:type="dxa" w:w="4896"/>
          </w:tcPr>
          <w:p>
            <w:r>
              <w:t>name, typed value, audit metadata</w:t>
            </w:r>
          </w:p>
        </w:tc>
      </w:tr>
      <w:tr>
        <w:tc>
          <w:tcPr>
            <w:tcW w:type="dxa" w:w="4896"/>
          </w:tcPr>
          <w:p>
            <w:r>
              <w:t>tenant_provisioning_jobs</w:t>
            </w:r>
          </w:p>
        </w:tc>
        <w:tc>
          <w:tcPr>
            <w:tcW w:type="dxa" w:w="4896"/>
          </w:tcPr>
          <w:p>
            <w:r>
              <w:t>tenant_id, step, state, attempt count, failure reason, timestamps</w:t>
            </w:r>
          </w:p>
        </w:tc>
      </w:tr>
      <w:tr>
        <w:tc>
          <w:tcPr>
            <w:tcW w:type="dxa" w:w="4896"/>
          </w:tcPr>
          <w:p>
            <w:r>
              <w:t>admin_audit_logs</w:t>
            </w:r>
          </w:p>
        </w:tc>
        <w:tc>
          <w:tcPr>
            <w:tcW w:type="dxa" w:w="4896"/>
          </w:tcPr>
          <w:p>
            <w:r>
              <w:t>actor, action, tenant target, IP, metadata, timestamp</w:t>
            </w:r>
          </w:p>
        </w:tc>
      </w:tr>
    </w:tbl>
    <w:p>
      <w:pPr>
        <w:pStyle w:val="Heading1"/>
      </w:pPr>
      <w:r>
        <w:t>5. Tenant database design</w:t>
      </w:r>
    </w:p>
    <w:p>
      <w:r>
        <w:t>One separate MySQL database per agency, e.g. social_tenant_0001. Client data is isolated logically within the tenant database using client_id and authorization scopes. Shared UUID identities may be referenced without cross-database foreign key dependencies.</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Domain</w:t>
            </w:r>
          </w:p>
        </w:tc>
        <w:tc>
          <w:tcPr>
            <w:tcW w:type="dxa" w:w="4896"/>
          </w:tcPr>
          <w:p>
            <w:r>
              <w:t>Tables / essential structure</w:t>
            </w:r>
          </w:p>
        </w:tc>
      </w:tr>
      <w:tr>
        <w:tc>
          <w:tcPr>
            <w:tcW w:type="dxa" w:w="4896"/>
          </w:tcPr>
          <w:p>
            <w:r>
              <w:t>Clients/teams</w:t>
            </w:r>
          </w:p>
        </w:tc>
        <w:tc>
          <w:tcPr>
            <w:tcW w:type="dxa" w:w="4896"/>
          </w:tcPr>
          <w:p>
            <w:r>
              <w:t>clients, client_users, client_brands, team_roles, team_tasks, team_permissions</w:t>
            </w:r>
          </w:p>
        </w:tc>
      </w:tr>
      <w:tr>
        <w:tc>
          <w:tcPr>
            <w:tcW w:type="dxa" w:w="4896"/>
          </w:tcPr>
          <w:p>
            <w:r>
              <w:t>Connections</w:t>
            </w:r>
          </w:p>
        </w:tc>
        <w:tc>
          <w:tcPr>
            <w:tcW w:type="dxa" w:w="4896"/>
          </w:tcPr>
          <w:p>
            <w:r>
              <w:t>social_accounts, social_account_tokens, social_permissions, social_account_events</w:t>
            </w:r>
          </w:p>
        </w:tc>
      </w:tr>
      <w:tr>
        <w:tc>
          <w:tcPr>
            <w:tcW w:type="dxa" w:w="4896"/>
          </w:tcPr>
          <w:p>
            <w:r>
              <w:t>Publishing</w:t>
            </w:r>
          </w:p>
        </w:tc>
        <w:tc>
          <w:tcPr>
            <w:tcW w:type="dxa" w:w="4896"/>
          </w:tcPr>
          <w:p>
            <w:r>
              <w:t>posts, post_versions, post_targets, post_media, post_schedules, publishing_attempts, publishing_logs</w:t>
            </w:r>
          </w:p>
        </w:tc>
      </w:tr>
      <w:tr>
        <w:tc>
          <w:tcPr>
            <w:tcW w:type="dxa" w:w="4896"/>
          </w:tcPr>
          <w:p>
            <w:r>
              <w:t>Campaigns/assets</w:t>
            </w:r>
          </w:p>
        </w:tc>
        <w:tc>
          <w:tcPr>
            <w:tcW w:type="dxa" w:w="4896"/>
          </w:tcPr>
          <w:p>
            <w:r>
              <w:t>campaigns, campaign_posts, media_assets, asset_folders, content_categories, templates</w:t>
            </w:r>
          </w:p>
        </w:tc>
      </w:tr>
      <w:tr>
        <w:tc>
          <w:tcPr>
            <w:tcW w:type="dxa" w:w="4896"/>
          </w:tcPr>
          <w:p>
            <w:r>
              <w:t>Approvals</w:t>
            </w:r>
          </w:p>
        </w:tc>
        <w:tc>
          <w:tcPr>
            <w:tcW w:type="dxa" w:w="4896"/>
          </w:tcPr>
          <w:p>
            <w:r>
              <w:t>approval_requests, approval_steps, approval_histories, review_comments</w:t>
            </w:r>
          </w:p>
        </w:tc>
      </w:tr>
      <w:tr>
        <w:tc>
          <w:tcPr>
            <w:tcW w:type="dxa" w:w="4896"/>
          </w:tcPr>
          <w:p>
            <w:r>
              <w:t>Analytics</w:t>
            </w:r>
          </w:p>
        </w:tc>
        <w:tc>
          <w:tcPr>
            <w:tcW w:type="dxa" w:w="4896"/>
          </w:tcPr>
          <w:p>
            <w:r>
              <w:t>social_metrics, post_metrics, analytics_snapshots, report_templates, report_exports</w:t>
            </w:r>
          </w:p>
        </w:tc>
      </w:tr>
      <w:tr>
        <w:tc>
          <w:tcPr>
            <w:tcW w:type="dxa" w:w="4896"/>
          </w:tcPr>
          <w:p>
            <w:r>
              <w:t>Inbox</w:t>
            </w:r>
          </w:p>
        </w:tc>
        <w:tc>
          <w:tcPr>
            <w:tcW w:type="dxa" w:w="4896"/>
          </w:tcPr>
          <w:p>
            <w:r>
              <w:t>conversations, messages, comments, inbox_assignments</w:t>
            </w:r>
          </w:p>
        </w:tc>
      </w:tr>
      <w:tr>
        <w:tc>
          <w:tcPr>
            <w:tcW w:type="dxa" w:w="4896"/>
          </w:tcPr>
          <w:p>
            <w:r>
              <w:t>AI/usage</w:t>
            </w:r>
          </w:p>
        </w:tc>
        <w:tc>
          <w:tcPr>
            <w:tcW w:type="dxa" w:w="4896"/>
          </w:tcPr>
          <w:p>
            <w:r>
              <w:t>ai_requests, ai_usage, ai_templates, tenant_usage_events</w:t>
            </w:r>
          </w:p>
        </w:tc>
      </w:tr>
      <w:tr>
        <w:tc>
          <w:tcPr>
            <w:tcW w:type="dxa" w:w="4896"/>
          </w:tcPr>
          <w:p>
            <w:r>
              <w:t>Operations</w:t>
            </w:r>
          </w:p>
        </w:tc>
        <w:tc>
          <w:tcPr>
            <w:tcW w:type="dxa" w:w="4896"/>
          </w:tcPr>
          <w:p>
            <w:r>
              <w:t>notifications, notification_preferences, webhook_events, tenant_audit_logs, outbox_events</w:t>
            </w:r>
          </w:p>
        </w:tc>
      </w:tr>
    </w:tbl>
    <w:p>
      <w:r>
        <w:t>Mandatory keys and indexes: tenant-local client_id indexes; social_accounts unique(platform, external_account_id) under correct ownership rules; post_targets unique(post_id, social_account_id) when multiple sends to the same account are not intended; unique external event/webhook IDs; unique idempotency keys per target publish attempt; indexed scheduled_at/status; UTC timestamps. Use DB transactions for local consistency.</w:t>
      </w:r>
    </w:p>
    <w:p>
      <w:pPr>
        <w:pStyle w:val="Heading1"/>
      </w:pPr>
      <w:r>
        <w:t>6. Multi-tenant runtime and provisioning</w:t>
      </w:r>
    </w:p>
    <w:p>
      <w:pPr>
        <w:pStyle w:val="ListNumber"/>
      </w:pPr>
      <w:r>
        <w:t>Register tenant/user in master DB; mark provisioning_pending; do not activate yet.</w:t>
      </w:r>
    </w:p>
    <w:p>
      <w:pPr>
        <w:pStyle w:val="ListNumber"/>
      </w:pPr>
      <w:r>
        <w:t>Provision unique database and restricted database credential using dedicated provisioning service, not web request DB admin rights.</w:t>
      </w:r>
    </w:p>
    <w:p>
      <w:pPr>
        <w:pStyle w:val="ListNumber"/>
      </w:pPr>
      <w:r>
        <w:t>Save encrypted secret reference in master DB; run versioned tenant migrations and seed essential roles/settings.</w:t>
      </w:r>
    </w:p>
    <w:p>
      <w:pPr>
        <w:pStyle w:val="ListNumber"/>
      </w:pPr>
      <w:r>
        <w:t>Verify schema and database connectivity; mark tenant active; send onboarding invitation.</w:t>
      </w:r>
    </w:p>
    <w:p>
      <w:pPr>
        <w:pStyle w:val="ListNumber"/>
      </w:pPr>
      <w:r>
        <w:t>Resolve tenancy by validated subdomain/custom-domain or explicit route; verify membership and tenant status.</w:t>
      </w:r>
    </w:p>
    <w:p>
      <w:pPr>
        <w:pStyle w:val="ListNumber"/>
      </w:pPr>
      <w:r>
        <w:t>Initialize and purge tenant DB connection on every request/job; enforce client authorization within tenant.</w:t>
      </w:r>
    </w:p>
    <w:p>
      <w:pPr>
        <w:pStyle w:val="ListNumber"/>
      </w:pPr>
      <w:r>
        <w:t>Handle suspend/reactivate, tenant migration, database credential rotation, backup/restore and deletion safely.</w:t>
      </w:r>
    </w:p>
    <w:p>
      <w:r>
        <w:t>Never trust tenant_id sent from the browser as sufficient authorization; always resolve and authorize against master membership. No ordinary cross-tenant queries. Central reporting uses aggregates rather than direct unrestricted tenant joins. Backups must be encrypted, restorable and tested.</w:t>
      </w:r>
    </w:p>
    <w:p>
      <w:pPr>
        <w:pStyle w:val="Heading1"/>
      </w:pPr>
      <w:r>
        <w:t>7. Publishing service and queue reliability</w:t>
      </w:r>
    </w:p>
    <w:p>
      <w:pPr>
        <w:pStyle w:val="ListNumber"/>
      </w:pPr>
      <w:r>
        <w:t>Composer writes draft and per-destination post_targets in tenant DB with validation results.</w:t>
      </w:r>
    </w:p>
    <w:p>
      <w:pPr>
        <w:pStyle w:val="ListNumber"/>
      </w:pPr>
      <w:r>
        <w:t>Approval completion makes the approved immutable revision eligible to schedule or publish.</w:t>
      </w:r>
    </w:p>
    <w:p>
      <w:pPr>
        <w:pStyle w:val="ListNumber"/>
      </w:pPr>
      <w:r>
        <w:t>Write tenant-local outbox event and commit in same transaction; reconciler copies due delivery references to central scheduling index / dispatch queue.</w:t>
      </w:r>
    </w:p>
    <w:p>
      <w:pPr>
        <w:pStyle w:val="ListNumber"/>
      </w:pPr>
      <w:r>
        <w:t>Central scheduler scans due targets and enqueues a job with tenant_id, target_id, immutable revision ID and idempotency key.</w:t>
      </w:r>
    </w:p>
    <w:p>
      <w:pPr>
        <w:pStyle w:val="ListNumber"/>
      </w:pPr>
      <w:r>
        <w:t>Worker resolves tenant credentials securely, verifies active entitlement, scope, approval, account health and content validity.</w:t>
      </w:r>
    </w:p>
    <w:p>
      <w:pPr>
        <w:pStyle w:val="ListNumber"/>
      </w:pPr>
      <w:r>
        <w:t>Provider adapter uploads media and publishes using supported official API endpoints; record provider request identifiers and resulting external post ID.</w:t>
      </w:r>
    </w:p>
    <w:p>
      <w:pPr>
        <w:pStyle w:val="ListNumber"/>
      </w:pPr>
      <w:r>
        <w:t>Classify errors: transient retry (exponential backoff/jitter), rate-limit retry-after, permanent validation/auth errors, unknown outcome needing reconciliation.</w:t>
      </w:r>
    </w:p>
    <w:p>
      <w:pPr>
        <w:pStyle w:val="ListNumber"/>
      </w:pPr>
      <w:r>
        <w:t>Update each target independently and aggregate master post status (published, partial failure, etc.); provide manual retry/reconnect and reporting.</w:t>
      </w:r>
    </w:p>
    <w:p>
      <w:pPr>
        <w:pStyle w:val="ListNumber"/>
      </w:pPr>
      <w:r>
        <w:t>Always purge tenant DB connection and user/tenant context in finally; prevent tenant context leakage across long-running workers.</w:t>
      </w:r>
    </w:p>
    <w:p>
      <w:r>
        <w:t>Publishing should avoid duplicates during ambiguous timeouts: reconcile remote status where API allows, record attempts, use an outbox and provider-supported idempotency where available. Webhooks require signature verification, replay protection, deduplication and retry-safe processing.</w:t>
      </w:r>
    </w:p>
    <w:p>
      <w:pPr>
        <w:pStyle w:val="Heading1"/>
      </w:pPr>
      <w:r>
        <w:t>8. Security and privacy requirements</w:t>
      </w:r>
    </w:p>
    <w:p>
      <w:pPr>
        <w:pStyle w:val="ListBullet"/>
      </w:pPr>
      <w:r>
        <w:t>OAuth with state validation, PKCE where supported, encrypted credential storage, scoped roles, least privilege and immediate disconnect/revocation handling.</w:t>
      </w:r>
    </w:p>
    <w:p>
      <w:pPr>
        <w:pStyle w:val="ListBullet"/>
      </w:pPr>
      <w:r>
        <w:t>Session security, MFA for privileged roles, CSRF protection, rate limiting, password resets, secure cookies and robust permissions.</w:t>
      </w:r>
    </w:p>
    <w:p>
      <w:pPr>
        <w:pStyle w:val="ListBullet"/>
      </w:pPr>
      <w:r>
        <w:t>Server-side authorization for every route, endpoint, client, account, post, report and background job.</w:t>
      </w:r>
    </w:p>
    <w:p>
      <w:pPr>
        <w:pStyle w:val="ListBullet"/>
      </w:pPr>
      <w:r>
        <w:t>Never log bearer tokens, secret credentials or full message contents into exception telemetry.</w:t>
      </w:r>
    </w:p>
    <w:p>
      <w:pPr>
        <w:pStyle w:val="ListBullet"/>
      </w:pPr>
      <w:r>
        <w:t>Tenant-isolated object storage prefixes and signed URLs; restrict public access and scan uploads.</w:t>
      </w:r>
    </w:p>
    <w:p>
      <w:pPr>
        <w:pStyle w:val="ListBullet"/>
      </w:pPr>
      <w:r>
        <w:t>Data retention/deletion/export workflows, audit trails and privacy notice; review applicable DPDPA and platform policy obligations.</w:t>
      </w:r>
    </w:p>
    <w:p>
      <w:pPr>
        <w:pStyle w:val="ListBullet"/>
      </w:pPr>
      <w:r>
        <w:t>Encrypted and routinely tested backups, migration rollback/runbooks and monitored token/permission expiry.</w:t>
      </w:r>
    </w:p>
    <w:p>
      <w:pPr>
        <w:pStyle w:val="Heading1"/>
      </w:pPr>
      <w:r>
        <w:t>9. Interface and navigation</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Area</w:t>
            </w:r>
          </w:p>
        </w:tc>
        <w:tc>
          <w:tcPr>
            <w:tcW w:type="dxa" w:w="4896"/>
          </w:tcPr>
          <w:p>
            <w:r>
              <w:t>Primary screens</w:t>
            </w:r>
          </w:p>
        </w:tc>
      </w:tr>
      <w:tr>
        <w:tc>
          <w:tcPr>
            <w:tcW w:type="dxa" w:w="4896"/>
          </w:tcPr>
          <w:p>
            <w:r>
              <w:t>Super Admin</w:t>
            </w:r>
          </w:p>
        </w:tc>
        <w:tc>
          <w:tcPr>
            <w:tcW w:type="dxa" w:w="4896"/>
          </w:tcPr>
          <w:p>
            <w:r>
              <w:t>Dashboard, tenants, provisioning, plans, payments, integrations, system health, support audit</w:t>
            </w:r>
          </w:p>
        </w:tc>
      </w:tr>
      <w:tr>
        <w:tc>
          <w:tcPr>
            <w:tcW w:type="dxa" w:w="4896"/>
          </w:tcPr>
          <w:p>
            <w:r>
              <w:t>Agency</w:t>
            </w:r>
          </w:p>
        </w:tc>
        <w:tc>
          <w:tcPr>
            <w:tcW w:type="dxa" w:w="4896"/>
          </w:tcPr>
          <w:p>
            <w:r>
              <w:t>Overview, clients, social connections, composer, calendar, approval inbox, campaigns, media, inbox, analytics, reports, team, billing, settings</w:t>
            </w:r>
          </w:p>
        </w:tc>
      </w:tr>
      <w:tr>
        <w:tc>
          <w:tcPr>
            <w:tcW w:type="dxa" w:w="4896"/>
          </w:tcPr>
          <w:p>
            <w:r>
              <w:t>Client Portal</w:t>
            </w:r>
          </w:p>
        </w:tc>
        <w:tc>
          <w:tcPr>
            <w:tcW w:type="dxa" w:w="4896"/>
          </w:tcPr>
          <w:p>
            <w:r>
              <w:t>Dashboard, draft review, approve/reject, calendar, assets, reports, feedback</w:t>
            </w:r>
          </w:p>
        </w:tc>
      </w:tr>
      <w:tr>
        <w:tc>
          <w:tcPr>
            <w:tcW w:type="dxa" w:w="4896"/>
          </w:tcPr>
          <w:p>
            <w:r>
              <w:t>Core interactions</w:t>
            </w:r>
          </w:p>
        </w:tc>
        <w:tc>
          <w:tcPr>
            <w:tcW w:type="dxa" w:w="4896"/>
          </w:tcPr>
          <w:p>
            <w:r>
              <w:t>Multi-account selector, per-platform preview, bulk scheduling, error detail, accessible status labels, timezone indicator</w:t>
            </w:r>
          </w:p>
        </w:tc>
      </w:tr>
    </w:tbl>
    <w:p>
      <w:pPr>
        <w:pStyle w:val="Heading1"/>
      </w:pPr>
      <w:r>
        <w:t>10. Recommended technology and deployment</w:t>
      </w:r>
    </w:p>
    <w:p>
      <w:pPr>
        <w:pStyle w:val="ListBullet"/>
      </w:pPr>
      <w:r>
        <w:t>Laravel latest stable compatible with selected PHP runtime; use Composer lockfile and pin tested dependency versions.</w:t>
      </w:r>
    </w:p>
    <w:p>
      <w:pPr>
        <w:pStyle w:val="ListBullet"/>
      </w:pPr>
      <w:r>
        <w:t>Blade, Livewire, Alpine.js, Tailwind CSS for an integrated Laravel UI; API-first service classes to support mobile apps later.</w:t>
      </w:r>
    </w:p>
    <w:p>
      <w:pPr>
        <w:pStyle w:val="ListBullet"/>
      </w:pPr>
      <w:r>
        <w:t>MySQL 8.x for master plus per-tenant databases; Redis cache and Redis queue with Horizon; Laravel Scheduler.</w:t>
      </w:r>
    </w:p>
    <w:p>
      <w:pPr>
        <w:pStyle w:val="ListBullet"/>
      </w:pPr>
      <w:r>
        <w:t>S3-compatible media storage, signed uploads, FFmpeg transcoding workers only when required.</w:t>
      </w:r>
    </w:p>
    <w:p>
      <w:pPr>
        <w:pStyle w:val="ListBullet"/>
      </w:pPr>
      <w:r>
        <w:t>Containerized or conventional Linux deployment behind Nginx/Apache, TLS, secrets manager, private DB networking and observability.</w:t>
      </w:r>
    </w:p>
    <w:p>
      <w:pPr>
        <w:pStyle w:val="ListBullet"/>
      </w:pPr>
      <w:r>
        <w:t>Separate production, staging and development projects; sandbox credentials for every supported provider.</w:t>
      </w:r>
    </w:p>
    <w:p>
      <w:pPr>
        <w:pStyle w:val="ListBullet"/>
      </w:pPr>
      <w:r>
        <w:t>Tenant-aware migrations, automated backups, per-tenant restore and gradual rollout with feature flags.</w:t>
      </w:r>
    </w:p>
    <w:p>
      <w:pPr>
        <w:pStyle w:val="Heading1"/>
      </w:pPr>
      <w:r>
        <w:t>11. Test plan and acceptance criteria</w:t>
      </w:r>
    </w:p>
    <w:p>
      <w:pPr>
        <w:pStyle w:val="ListBullet"/>
      </w:pPr>
      <w:r>
        <w:t>Isolation: agency A must never access agency B database, media, queue tasks, reports or credentials; clients within one agency see only authorized records.</w:t>
      </w:r>
    </w:p>
    <w:p>
      <w:pPr>
        <w:pStyle w:val="ListBullet"/>
      </w:pPr>
      <w:r>
        <w:t>Onboarding: failure midway through provisioning leaves tenant inactive and is safely retryable.</w:t>
      </w:r>
    </w:p>
    <w:p>
      <w:pPr>
        <w:pStyle w:val="ListBullet"/>
      </w:pPr>
      <w:r>
        <w:t>Social connections: consent, token refresh, expiration, revoked permissions and reconnect are correctly surfaced.</w:t>
      </w:r>
    </w:p>
    <w:p>
      <w:pPr>
        <w:pStyle w:val="ListBullet"/>
      </w:pPr>
      <w:r>
        <w:t>Bulk publishing: 10 targets where 8 succeed and 2 fail produces exactly 8 published outcomes and 2 retryable/failed targets without duplicate posts.</w:t>
      </w:r>
    </w:p>
    <w:p>
      <w:pPr>
        <w:pStyle w:val="ListBullet"/>
      </w:pPr>
      <w:r>
        <w:t>Approvals: editing approved captions/media/targets invalidates approvals; unauthorized users cannot override.</w:t>
      </w:r>
    </w:p>
    <w:p>
      <w:pPr>
        <w:pStyle w:val="ListBullet"/>
      </w:pPr>
      <w:r>
        <w:t>Scheduling: timezone and daylight-saving boundaries work; jobs are recoverable after restart.</w:t>
      </w:r>
    </w:p>
    <w:p>
      <w:pPr>
        <w:pStyle w:val="ListBullet"/>
      </w:pPr>
      <w:r>
        <w:t>Billing: suspended or over-limit tenants are gated according to documented rules; financial records retain accurate minor units.</w:t>
      </w:r>
    </w:p>
    <w:p>
      <w:pPr>
        <w:pStyle w:val="ListBullet"/>
      </w:pPr>
      <w:r>
        <w:t>Operations: workers clear tenant context after every job; retry and webhook replay are idempotent; critical actions logged.</w:t>
      </w:r>
    </w:p>
    <w:p>
      <w:pPr>
        <w:pStyle w:val="ListBullet"/>
      </w:pPr>
      <w:r>
        <w:t>Reporting: metrics show source and synchronization freshness; unavailable API metrics are not fabricated.</w:t>
      </w:r>
    </w:p>
    <w:p>
      <w:pPr>
        <w:pStyle w:val="ListBullet"/>
      </w:pPr>
      <w:r>
        <w:t>Quality: automated unit/feature/integration tests, migrations, seeders, accessible UI, threat checks and deployment documentation.</w:t>
      </w:r>
    </w:p>
    <w:p>
      <w:pPr>
        <w:pStyle w:val="Heading1"/>
      </w:pPr>
      <w:r>
        <w:t>12. Phased implementation sequence</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Milestone</w:t>
            </w:r>
          </w:p>
        </w:tc>
        <w:tc>
          <w:tcPr>
            <w:tcW w:type="dxa" w:w="4896"/>
          </w:tcPr>
          <w:p>
            <w:r>
              <w:t>Scope / demonstrable output</w:t>
            </w:r>
          </w:p>
        </w:tc>
      </w:tr>
      <w:tr>
        <w:tc>
          <w:tcPr>
            <w:tcW w:type="dxa" w:w="4896"/>
          </w:tcPr>
          <w:p>
            <w:r>
              <w:t>M1 Foundation</w:t>
            </w:r>
          </w:p>
        </w:tc>
        <w:tc>
          <w:tcPr>
            <w:tcW w:type="dxa" w:w="4896"/>
          </w:tcPr>
          <w:p>
            <w:r>
              <w:t>Repo setup, master schema, user auth, RBAC, tenant provisioning, dynamic DB switch, tests.</w:t>
            </w:r>
          </w:p>
        </w:tc>
      </w:tr>
      <w:tr>
        <w:tc>
          <w:tcPr>
            <w:tcW w:type="dxa" w:w="4896"/>
          </w:tcPr>
          <w:p>
            <w:r>
              <w:t>M2 Client and social accounts</w:t>
            </w:r>
          </w:p>
        </w:tc>
        <w:tc>
          <w:tcPr>
            <w:tcW w:type="dxa" w:w="4896"/>
          </w:tcPr>
          <w:p>
            <w:r>
              <w:t>Tenant client/roles, OAuth adapters, account connection health, permission matrix.</w:t>
            </w:r>
          </w:p>
        </w:tc>
      </w:tr>
      <w:tr>
        <w:tc>
          <w:tcPr>
            <w:tcW w:type="dxa" w:w="4896"/>
          </w:tcPr>
          <w:p>
            <w:r>
              <w:t>M3 Composer and delivery</w:t>
            </w:r>
          </w:p>
        </w:tc>
        <w:tc>
          <w:tcPr>
            <w:tcW w:type="dxa" w:w="4896"/>
          </w:tcPr>
          <w:p>
            <w:r>
              <w:t>Media library, per-target post versions, scheduler, publishing jobs, retry logging.</w:t>
            </w:r>
          </w:p>
        </w:tc>
      </w:tr>
      <w:tr>
        <w:tc>
          <w:tcPr>
            <w:tcW w:type="dxa" w:w="4896"/>
          </w:tcPr>
          <w:p>
            <w:r>
              <w:t>M4 Collaboration</w:t>
            </w:r>
          </w:p>
        </w:tc>
        <w:tc>
          <w:tcPr>
            <w:tcW w:type="dxa" w:w="4896"/>
          </w:tcPr>
          <w:p>
            <w:r>
              <w:t>Client portal, approval stages, calendar, campaign and team tasks.</w:t>
            </w:r>
          </w:p>
        </w:tc>
      </w:tr>
      <w:tr>
        <w:tc>
          <w:tcPr>
            <w:tcW w:type="dxa" w:w="4896"/>
          </w:tcPr>
          <w:p>
            <w:r>
              <w:t>M5 Reporting and AI</w:t>
            </w:r>
          </w:p>
        </w:tc>
        <w:tc>
          <w:tcPr>
            <w:tcW w:type="dxa" w:w="4896"/>
          </w:tcPr>
          <w:p>
            <w:r>
              <w:t>Metrics sync, dashboards, branded exports, opt-in AI assistant, usage tracking.</w:t>
            </w:r>
          </w:p>
        </w:tc>
      </w:tr>
      <w:tr>
        <w:tc>
          <w:tcPr>
            <w:tcW w:type="dxa" w:w="4896"/>
          </w:tcPr>
          <w:p>
            <w:r>
              <w:t>M6 Commercial/advanced</w:t>
            </w:r>
          </w:p>
        </w:tc>
        <w:tc>
          <w:tcPr>
            <w:tcW w:type="dxa" w:w="4896"/>
          </w:tcPr>
          <w:p>
            <w:r>
              <w:t>Billing entitlements, social inbox where permitted, white-label, extra providers, production hardening.</w:t>
            </w:r>
          </w:p>
        </w:tc>
      </w:tr>
    </w:tbl>
    <w:p>
      <w:r>
        <w:t>Time planning assumption: approximately 19–24+ weeks with a competent cross-functional team, dependent on API approvals and integrations. Treat this as an estimate, not a contract.</w:t>
      </w:r>
    </w:p>
    <w:p>
      <w:pPr>
        <w:pStyle w:val="Heading1"/>
      </w:pPr>
      <w:r>
        <w:t>13. Suggested pricing model (illustrative, not final)</w:t>
      </w:r>
    </w:p>
    <w:tbl>
      <w:tblPr>
        <w:tblStyle w:val="LightShading-Accent1"/>
        <w:tblW w:type="auto" w:w="0"/>
        <w:jc w:val="center"/>
        <w:tblLook w:firstColumn="1" w:firstRow="1" w:lastColumn="0" w:lastRow="0" w:noHBand="0" w:noVBand="1" w:val="04A0"/>
      </w:tblPr>
      <w:tblGrid>
        <w:gridCol w:w="2448"/>
        <w:gridCol w:w="2448"/>
        <w:gridCol w:w="2448"/>
        <w:gridCol w:w="2448"/>
      </w:tblGrid>
      <w:tr>
        <w:tc>
          <w:tcPr>
            <w:tcW w:type="dxa" w:w="2448"/>
          </w:tcPr>
          <w:p>
            <w:r>
              <w:t>Plan</w:t>
            </w:r>
          </w:p>
        </w:tc>
        <w:tc>
          <w:tcPr>
            <w:tcW w:type="dxa" w:w="2448"/>
          </w:tcPr>
          <w:p>
            <w:r>
              <w:t>Monthly INR</w:t>
            </w:r>
          </w:p>
        </w:tc>
        <w:tc>
          <w:tcPr>
            <w:tcW w:type="dxa" w:w="2448"/>
          </w:tcPr>
          <w:p>
            <w:r>
              <w:t>Clients</w:t>
            </w:r>
          </w:p>
        </w:tc>
        <w:tc>
          <w:tcPr>
            <w:tcW w:type="dxa" w:w="2448"/>
          </w:tcPr>
          <w:p>
            <w:r>
              <w:t>Connected accounts</w:t>
            </w:r>
          </w:p>
        </w:tc>
      </w:tr>
      <w:tr>
        <w:tc>
          <w:tcPr>
            <w:tcW w:type="dxa" w:w="2448"/>
          </w:tcPr>
          <w:p>
            <w:r>
              <w:t>Starter</w:t>
            </w:r>
          </w:p>
        </w:tc>
        <w:tc>
          <w:tcPr>
            <w:tcW w:type="dxa" w:w="2448"/>
          </w:tcPr>
          <w:p>
            <w:r>
              <w:t>499</w:t>
            </w:r>
          </w:p>
        </w:tc>
        <w:tc>
          <w:tcPr>
            <w:tcW w:type="dxa" w:w="2448"/>
          </w:tcPr>
          <w:p>
            <w:r>
              <w:t>2</w:t>
            </w:r>
          </w:p>
        </w:tc>
        <w:tc>
          <w:tcPr>
            <w:tcW w:type="dxa" w:w="2448"/>
          </w:tcPr>
          <w:p>
            <w:r>
              <w:t>5</w:t>
            </w:r>
          </w:p>
        </w:tc>
      </w:tr>
      <w:tr>
        <w:tc>
          <w:tcPr>
            <w:tcW w:type="dxa" w:w="2448"/>
          </w:tcPr>
          <w:p>
            <w:r>
              <w:t>Professional</w:t>
            </w:r>
          </w:p>
        </w:tc>
        <w:tc>
          <w:tcPr>
            <w:tcW w:type="dxa" w:w="2448"/>
          </w:tcPr>
          <w:p>
            <w:r>
              <w:t>1,499</w:t>
            </w:r>
          </w:p>
        </w:tc>
        <w:tc>
          <w:tcPr>
            <w:tcW w:type="dxa" w:w="2448"/>
          </w:tcPr>
          <w:p>
            <w:r>
              <w:t>10</w:t>
            </w:r>
          </w:p>
        </w:tc>
        <w:tc>
          <w:tcPr>
            <w:tcW w:type="dxa" w:w="2448"/>
          </w:tcPr>
          <w:p>
            <w:r>
              <w:t>30</w:t>
            </w:r>
          </w:p>
        </w:tc>
      </w:tr>
      <w:tr>
        <w:tc>
          <w:tcPr>
            <w:tcW w:type="dxa" w:w="2448"/>
          </w:tcPr>
          <w:p>
            <w:r>
              <w:t>Agency</w:t>
            </w:r>
          </w:p>
        </w:tc>
        <w:tc>
          <w:tcPr>
            <w:tcW w:type="dxa" w:w="2448"/>
          </w:tcPr>
          <w:p>
            <w:r>
              <w:t>3,999</w:t>
            </w:r>
          </w:p>
        </w:tc>
        <w:tc>
          <w:tcPr>
            <w:tcW w:type="dxa" w:w="2448"/>
          </w:tcPr>
          <w:p>
            <w:r>
              <w:t>30</w:t>
            </w:r>
          </w:p>
        </w:tc>
        <w:tc>
          <w:tcPr>
            <w:tcW w:type="dxa" w:w="2448"/>
          </w:tcPr>
          <w:p>
            <w:r>
              <w:t>100</w:t>
            </w:r>
          </w:p>
        </w:tc>
      </w:tr>
      <w:tr>
        <w:tc>
          <w:tcPr>
            <w:tcW w:type="dxa" w:w="2448"/>
          </w:tcPr>
          <w:p>
            <w:r>
              <w:t>Enterprise</w:t>
            </w:r>
          </w:p>
        </w:tc>
        <w:tc>
          <w:tcPr>
            <w:tcW w:type="dxa" w:w="2448"/>
          </w:tcPr>
          <w:p>
            <w:r>
              <w:t>Custom</w:t>
            </w:r>
          </w:p>
        </w:tc>
        <w:tc>
          <w:tcPr>
            <w:tcW w:type="dxa" w:w="2448"/>
          </w:tcPr>
          <w:p>
            <w:r>
              <w:t>Custom</w:t>
            </w:r>
          </w:p>
        </w:tc>
        <w:tc>
          <w:tcPr>
            <w:tcW w:type="dxa" w:w="2448"/>
          </w:tcPr>
          <w:p>
            <w:r>
              <w:t>Custom</w:t>
            </w:r>
          </w:p>
        </w:tc>
      </w:tr>
    </w:tbl>
    <w:p>
      <w:r>
        <w:t>Meter AI usage, media storage, video processing, expensive provider APIs and other cost drivers separately; validate pricing against API fees, platform limits and actual infrastructure costs. Agency owner/admin can control entitlements but cannot bypass mandatory platform consent.</w:t>
      </w:r>
    </w:p>
    <w:p>
      <w:pPr>
        <w:pStyle w:val="Heading1"/>
      </w:pPr>
      <w:r>
        <w:t>14. Claude development master prompt</w:t>
      </w:r>
    </w:p>
    <w:p>
      <w:r>
        <w:t>Act as a principal Laravel architect and hands-on senior engineer. Implement a production-grade social media management SaaS based on the requirements in this document. Do not reduce the scope to an MVP. Implement in controlled vertical slices that are fully tested and documented.</w:t>
        <w:br/>
        <w:br/>
        <w:t>Mandatory architecture: ONE Laravel application; MySQL master database storing central users, tenant registry, domain routing, plan entitlements, payments and provisioning; ONE isolated MySQL tenant database per agency; many clients and connected social accounts within each agency tenant. Use Laravel Blade + Livewire + Alpine.js; Redis queues/Horizon; S3-compatible media. Use official OAuth and provider APIs only.</w:t>
        <w:br/>
        <w:br/>
        <w:t>Before writing code:</w:t>
        <w:br/>
        <w:t>1. Inspect the existing repository and provide an inventory; if empty, initialize a supported Laravel version and required dependencies.</w:t>
        <w:br/>
        <w:t>2. Present an executable implementation plan, migration map, domain/entity relationships, authorization matrix, integration capability matrix, environment variables, deployment and test strategy.</w:t>
        <w:br/>
        <w:t>3. Identify uncertain API permissions and mark them as blocked/configurable, NOT simulated success. Use sandbox and fake adapters only for local development/tests.</w:t>
        <w:br/>
        <w:br/>
        <w:t>Then implement Milestone M1 completely: secure authentication, master database schema, tenant registration/provisioning, domain resolution, dynamic tenant DB connections, migrations, tenant-safe role management, middleware, validation, audit logging, seeders, tests and development documentation. Ensure tenant context reset in workers and request lifecycles. Show files created/changed and commands to migrate/test/run. Do not introduce unsafe cross-tenant queries.</w:t>
        <w:br/>
        <w:br/>
        <w:t>After M1 passes acceptance criteria, proceed through M2–M6 in order, preserving existing work. Each milestone must include migrations, models, service classes, controllers/Livewire components, policies, queues, UI, feature/unit tests, and README updates. Protect idempotency and approvals before building multi-account publishing. Use explicit statuses and per-target error handling.</w:t>
        <w:br/>
        <w:br/>
        <w:t>Engineering requirements: secure encrypted OAuth tokens; official documented API calls; provider adapter interfaces; feature flags for incomplete providers; API quota awareness; outbox for cross-db scheduling; UTC timestamps plus tenant/user timezone; signed URLs; rate limiting; audit logs; transaction boundaries; indexes and uniqueness constraints; environment-scoped secrets; backup and restore procedures. No hardcoded secrets, no social user passwords, no scraping or policy bypass.</w:t>
        <w:br/>
        <w:br/>
        <w:t>Output format: (a) decisions and assumptions, (b) code and file changes, (c) migration/installation commands, (d) automated tests and results, (e) unresolved integrations/approvals, (f) next implementation step. Make actual repository changes; do not respond with a generic outline only. When external credentials are missing, build a safe integration interface + fake tests and explain the exact setup needed for production.</w:t>
      </w:r>
    </w:p>
    <w:p>
      <w:pPr>
        <w:pStyle w:val="Heading1"/>
      </w:pPr>
      <w:r>
        <w:t>15. Developer starting checklist</w:t>
      </w:r>
    </w:p>
    <w:p>
      <w:pPr>
        <w:pStyle w:val="ListBullet"/>
      </w:pPr>
      <w:r>
        <w:t>Choose and pin Laravel/PHP/Livewire dependency versions; initialize repository and CI.</w:t>
      </w:r>
    </w:p>
    <w:p>
      <w:pPr>
        <w:pStyle w:val="ListBullet"/>
      </w:pPr>
      <w:r>
        <w:t>Provision MySQL master and development tenant DB server; configure distinct least-privilege accounts.</w:t>
      </w:r>
    </w:p>
    <w:p>
      <w:pPr>
        <w:pStyle w:val="ListBullet"/>
      </w:pPr>
      <w:r>
        <w:t>Implement central authentication and tenant membership authorization.</w:t>
      </w:r>
    </w:p>
    <w:p>
      <w:pPr>
        <w:pStyle w:val="ListBullet"/>
      </w:pPr>
      <w:r>
        <w:t>Complete tenant provisioning, migrations, lifecycle and database isolation integration tests.</w:t>
      </w:r>
    </w:p>
    <w:p>
      <w:pPr>
        <w:pStyle w:val="ListBullet"/>
      </w:pPr>
      <w:r>
        <w:t>Create OAuth developer apps, configure redirects and document provider permission/review requirements.</w:t>
      </w:r>
    </w:p>
    <w:p>
      <w:pPr>
        <w:pStyle w:val="ListBullet"/>
      </w:pPr>
      <w:r>
        <w:t>Implement account adapters and per-platform capability matrix before Composer promises.</w:t>
      </w:r>
    </w:p>
    <w:p>
      <w:pPr>
        <w:pStyle w:val="ListBullet"/>
      </w:pPr>
      <w:r>
        <w:t>Build publishing outbox, reliable queues and simulated provider integration tests before real publishing.</w:t>
      </w:r>
    </w:p>
    <w:p>
      <w:pPr>
        <w:pStyle w:val="ListBullet"/>
      </w:pPr>
      <w:r>
        <w:t>Add approvals, analytics, billing and operational monitoring in later milestones.</w:t>
      </w:r>
    </w:p>
    <w:p>
      <w:pPr>
        <w:pStyle w:val="Heading1"/>
      </w:pPr>
      <w:r>
        <w:t>16. Important clarifications and scope boundaries</w:t>
      </w:r>
    </w:p>
    <w:p>
      <w:r>
        <w:t>This is a comprehensive product specification and executable starting brief, not an assertion that every third-party API permission has already been granted. Provider capabilities and rate limits change. Verify against current official documentation during integration. Agency database-per-tenant isolation does not mean dedicated physical database servers. Estimated prices/timelines are planning examples. The application must gracefully disable unavailable features.</w:t>
      </w:r>
    </w:p>
    <w:sectPr w:rsidR="00FC693F" w:rsidRPr="0006063C" w:rsidSect="00034616">
      <w:footerReference w:type="default" r:id="rId9"/>
      <w:pgSz w:w="12240" w:h="15840"/>
      <w:pgMar w:top="1123" w:right="1224" w:bottom="1008" w:left="1224"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WhizzAct  |  Social Media Management SaaS  |  Development Specification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43453"/>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43453"/>
      <w:sz w:val="22"/>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Display" w:hAnsi="Aptos Display"/>
      <w:b/>
      <w:bCs/>
      <w:color w:val="143453"/>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434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